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CEAF7" w:themeColor="text2" w:themeTint="19"/>
  <w:body>
    <w:p w14:paraId="51DF89E1" w14:textId="458EC356" w:rsidR="000714A3" w:rsidRPr="006C0C93" w:rsidRDefault="009E7AE7" w:rsidP="000714A3">
      <w:pPr>
        <w:jc w:val="center"/>
        <w:rPr>
          <w:rFonts w:cstheme="minorHAnsi"/>
          <w:b/>
          <w:bCs/>
        </w:rPr>
      </w:pPr>
      <w:r>
        <w:rPr>
          <w:rFonts w:cstheme="minorHAnsi"/>
          <w:noProof/>
        </w:rPr>
        <w:drawing>
          <wp:anchor distT="0" distB="0" distL="114300" distR="114300" simplePos="0" relativeHeight="251667456" behindDoc="0" locked="0" layoutInCell="1" allowOverlap="1" wp14:anchorId="53CCCA5B" wp14:editId="729CAC59">
            <wp:simplePos x="0" y="0"/>
            <wp:positionH relativeFrom="margin">
              <wp:posOffset>4973535</wp:posOffset>
            </wp:positionH>
            <wp:positionV relativeFrom="margin">
              <wp:posOffset>35365</wp:posOffset>
            </wp:positionV>
            <wp:extent cx="760730" cy="948055"/>
            <wp:effectExtent l="0" t="0" r="1270" b="4445"/>
            <wp:wrapSquare wrapText="bothSides"/>
            <wp:docPr id="781076107"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76107" name="Picture 4" descr="A logo with text on 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0730" cy="948055"/>
                    </a:xfrm>
                    <a:prstGeom prst="rect">
                      <a:avLst/>
                    </a:prstGeom>
                  </pic:spPr>
                </pic:pic>
              </a:graphicData>
            </a:graphic>
            <wp14:sizeRelH relativeFrom="margin">
              <wp14:pctWidth>0</wp14:pctWidth>
            </wp14:sizeRelH>
            <wp14:sizeRelV relativeFrom="margin">
              <wp14:pctHeight>0</wp14:pctHeight>
            </wp14:sizeRelV>
          </wp:anchor>
        </w:drawing>
      </w:r>
      <w:r w:rsidR="0008637C">
        <w:rPr>
          <w:rFonts w:cstheme="minorHAnsi"/>
          <w:b/>
          <w:bCs/>
          <w:noProof/>
        </w:rPr>
        <w:drawing>
          <wp:anchor distT="0" distB="0" distL="114300" distR="114300" simplePos="0" relativeHeight="251666432" behindDoc="1" locked="0" layoutInCell="1" allowOverlap="1" wp14:anchorId="4B8D44DF" wp14:editId="66C7EAF0">
            <wp:simplePos x="0" y="0"/>
            <wp:positionH relativeFrom="column">
              <wp:posOffset>80645</wp:posOffset>
            </wp:positionH>
            <wp:positionV relativeFrom="paragraph">
              <wp:posOffset>0</wp:posOffset>
            </wp:positionV>
            <wp:extent cx="1061085" cy="1067435"/>
            <wp:effectExtent l="0" t="0" r="5715" b="0"/>
            <wp:wrapTight wrapText="bothSides">
              <wp:wrapPolygon edited="0">
                <wp:start x="0" y="0"/>
                <wp:lineTo x="0" y="21330"/>
                <wp:lineTo x="21458" y="21330"/>
                <wp:lineTo x="21458" y="0"/>
                <wp:lineTo x="0" y="0"/>
              </wp:wrapPolygon>
            </wp:wrapTight>
            <wp:docPr id="560940966" name="Picture 3" descr="A logo of a triangle and yin ya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40966" name="Picture 3" descr="A logo of a triangle and yin yang&#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1085" cy="1067435"/>
                    </a:xfrm>
                    <a:prstGeom prst="rect">
                      <a:avLst/>
                    </a:prstGeom>
                  </pic:spPr>
                </pic:pic>
              </a:graphicData>
            </a:graphic>
            <wp14:sizeRelH relativeFrom="page">
              <wp14:pctWidth>0</wp14:pctWidth>
            </wp14:sizeRelH>
            <wp14:sizeRelV relativeFrom="page">
              <wp14:pctHeight>0</wp14:pctHeight>
            </wp14:sizeRelV>
          </wp:anchor>
        </w:drawing>
      </w:r>
      <w:r w:rsidR="0008637C">
        <w:rPr>
          <w:rFonts w:cstheme="minorHAnsi"/>
          <w:b/>
          <w:bCs/>
          <w:noProof/>
        </w:rPr>
        <w:t>The Essentials of</w:t>
      </w:r>
      <w:r w:rsidR="000714A3" w:rsidRPr="006C0C93">
        <w:rPr>
          <w:rFonts w:cstheme="minorHAnsi"/>
          <w:b/>
          <w:bCs/>
        </w:rPr>
        <w:t xml:space="preserve"> Group Schema Therapy</w:t>
      </w:r>
      <w:r w:rsidR="002B602E" w:rsidRPr="006C0C93">
        <w:rPr>
          <w:rFonts w:cstheme="minorHAnsi"/>
          <w:b/>
          <w:bCs/>
        </w:rPr>
        <w:t xml:space="preserve"> </w:t>
      </w:r>
    </w:p>
    <w:p w14:paraId="7FABFFDB" w14:textId="63CD3C1F" w:rsidR="000714A3" w:rsidRPr="006C0C93" w:rsidRDefault="000714A3" w:rsidP="000714A3">
      <w:pPr>
        <w:jc w:val="center"/>
        <w:rPr>
          <w:rFonts w:cstheme="minorHAnsi"/>
          <w:b/>
          <w:bCs/>
        </w:rPr>
      </w:pPr>
      <w:r w:rsidRPr="006C0C93">
        <w:rPr>
          <w:rFonts w:cstheme="minorHAnsi"/>
          <w:b/>
          <w:bCs/>
        </w:rPr>
        <w:t>Joan Farrell</w:t>
      </w:r>
      <w:r w:rsidR="00B24C8B" w:rsidRPr="006C0C93">
        <w:rPr>
          <w:rFonts w:cstheme="minorHAnsi"/>
          <w:b/>
          <w:bCs/>
        </w:rPr>
        <w:t>, Ph.D.</w:t>
      </w:r>
      <w:r w:rsidRPr="006C0C93">
        <w:rPr>
          <w:rFonts w:cstheme="minorHAnsi"/>
          <w:b/>
          <w:bCs/>
        </w:rPr>
        <w:t xml:space="preserve"> &amp; Ida Shaw</w:t>
      </w:r>
      <w:r w:rsidR="00B24C8B" w:rsidRPr="006C0C93">
        <w:rPr>
          <w:rFonts w:cstheme="minorHAnsi"/>
          <w:b/>
          <w:bCs/>
        </w:rPr>
        <w:t>, MA</w:t>
      </w:r>
    </w:p>
    <w:p w14:paraId="31F0CE7D" w14:textId="08497662" w:rsidR="000714A3" w:rsidRPr="006C0C93" w:rsidRDefault="00E432C1" w:rsidP="000714A3">
      <w:pPr>
        <w:jc w:val="center"/>
        <w:rPr>
          <w:rFonts w:cstheme="minorHAnsi"/>
        </w:rPr>
      </w:pPr>
      <w:r>
        <w:rPr>
          <w:rFonts w:cstheme="minorHAnsi"/>
        </w:rPr>
        <w:t>24</w:t>
      </w:r>
      <w:r w:rsidR="00C928E2" w:rsidRPr="006C0C93">
        <w:rPr>
          <w:rFonts w:cstheme="minorHAnsi"/>
        </w:rPr>
        <w:t>-hour</w:t>
      </w:r>
      <w:r w:rsidR="000714A3" w:rsidRPr="006C0C93">
        <w:rPr>
          <w:rFonts w:cstheme="minorHAnsi"/>
        </w:rPr>
        <w:t xml:space="preserve"> </w:t>
      </w:r>
      <w:r w:rsidR="000317F2">
        <w:rPr>
          <w:rFonts w:cstheme="minorHAnsi"/>
        </w:rPr>
        <w:t xml:space="preserve">Master Class </w:t>
      </w:r>
    </w:p>
    <w:p w14:paraId="3D6A063A" w14:textId="6E735861" w:rsidR="000714A3" w:rsidRPr="009E7AE7" w:rsidRDefault="00E432C1" w:rsidP="009E7AE7">
      <w:pPr>
        <w:jc w:val="center"/>
        <w:rPr>
          <w:rFonts w:cstheme="minorHAnsi"/>
        </w:rPr>
      </w:pPr>
      <w:r>
        <w:rPr>
          <w:rFonts w:cstheme="minorHAnsi"/>
        </w:rPr>
        <w:t>January15, 16, 29, 30, 2027</w:t>
      </w:r>
    </w:p>
    <w:p w14:paraId="1BF91465" w14:textId="3545E218" w:rsidR="009E7AE7" w:rsidRDefault="009E7AE7" w:rsidP="009E7AE7">
      <w:pPr>
        <w:jc w:val="center"/>
        <w:rPr>
          <w:rFonts w:cstheme="minorHAnsi"/>
        </w:rPr>
      </w:pPr>
      <w:r w:rsidRPr="009E7AE7">
        <w:rPr>
          <w:rFonts w:cstheme="minorHAnsi"/>
        </w:rPr>
        <w:t>8am-3:</w:t>
      </w:r>
      <w:r w:rsidR="00E432C1">
        <w:rPr>
          <w:rFonts w:cstheme="minorHAnsi"/>
        </w:rPr>
        <w:t>00</w:t>
      </w:r>
      <w:r>
        <w:rPr>
          <w:rFonts w:cstheme="minorHAnsi"/>
        </w:rPr>
        <w:t>, Eastern Standard time (New York)</w:t>
      </w:r>
    </w:p>
    <w:p w14:paraId="6126CF59" w14:textId="77777777" w:rsidR="009E7AE7" w:rsidRPr="009E7AE7" w:rsidRDefault="009E7AE7" w:rsidP="009E7AE7">
      <w:pPr>
        <w:jc w:val="center"/>
        <w:rPr>
          <w:rFonts w:cstheme="minorHAnsi"/>
        </w:rPr>
      </w:pPr>
    </w:p>
    <w:p w14:paraId="737127C2" w14:textId="71896386" w:rsidR="006C2F5E" w:rsidRPr="006C0C93" w:rsidRDefault="005D6B4A" w:rsidP="00C928E2">
      <w:pPr>
        <w:jc w:val="center"/>
        <w:rPr>
          <w:rFonts w:cstheme="minorHAnsi"/>
        </w:rPr>
      </w:pPr>
      <w:r w:rsidRPr="006C0C93">
        <w:rPr>
          <w:rFonts w:cstheme="minorHAnsi"/>
          <w:b/>
          <w:bCs/>
        </w:rPr>
        <w:t xml:space="preserve">Learn Group Schema Therapy from </w:t>
      </w:r>
      <w:r w:rsidR="00E432C1">
        <w:rPr>
          <w:rFonts w:cstheme="minorHAnsi"/>
          <w:b/>
          <w:bCs/>
        </w:rPr>
        <w:t>the clinicians who developed the GST Model</w:t>
      </w:r>
      <w:r w:rsidR="00C928E2" w:rsidRPr="006C0C93">
        <w:rPr>
          <w:rFonts w:cstheme="minorHAnsi"/>
          <w:b/>
          <w:bCs/>
        </w:rPr>
        <w:t>!</w:t>
      </w:r>
    </w:p>
    <w:p w14:paraId="47F88734" w14:textId="77777777" w:rsidR="00711F7D" w:rsidRPr="006C0C93" w:rsidRDefault="00711F7D" w:rsidP="00711F7D">
      <w:pPr>
        <w:rPr>
          <w:rFonts w:cstheme="minorHAnsi"/>
        </w:rPr>
      </w:pPr>
    </w:p>
    <w:p w14:paraId="47F9B838" w14:textId="51428C60" w:rsidR="0008383C" w:rsidRPr="006C0C93" w:rsidRDefault="000076B8" w:rsidP="006C0C93">
      <w:pPr>
        <w:ind w:firstLine="720"/>
        <w:rPr>
          <w:rFonts w:cstheme="minorHAnsi"/>
        </w:rPr>
      </w:pPr>
      <w:r>
        <w:rPr>
          <w:rFonts w:cstheme="minorHAnsi"/>
        </w:rPr>
        <w:t>This</w:t>
      </w:r>
      <w:r w:rsidR="0008637C">
        <w:rPr>
          <w:rFonts w:cstheme="minorHAnsi"/>
        </w:rPr>
        <w:t xml:space="preserve"> </w:t>
      </w:r>
      <w:r>
        <w:rPr>
          <w:rFonts w:cstheme="minorHAnsi"/>
        </w:rPr>
        <w:t>4</w:t>
      </w:r>
      <w:r w:rsidR="000317F2">
        <w:rPr>
          <w:rFonts w:cstheme="minorHAnsi"/>
        </w:rPr>
        <w:t>-</w:t>
      </w:r>
      <w:r w:rsidR="0008637C">
        <w:rPr>
          <w:rFonts w:cstheme="minorHAnsi"/>
        </w:rPr>
        <w:t xml:space="preserve">day </w:t>
      </w:r>
      <w:r>
        <w:rPr>
          <w:rFonts w:cstheme="minorHAnsi"/>
        </w:rPr>
        <w:t xml:space="preserve">master class is suitable for psychotherapists </w:t>
      </w:r>
      <w:r w:rsidR="00E432C1">
        <w:rPr>
          <w:rFonts w:cstheme="minorHAnsi"/>
        </w:rPr>
        <w:t>for those who want to learn how to use GST in their practice</w:t>
      </w:r>
      <w:r w:rsidR="00E432C1">
        <w:rPr>
          <w:rFonts w:cstheme="minorHAnsi"/>
        </w:rPr>
        <w:t xml:space="preserve"> and those </w:t>
      </w:r>
      <w:r>
        <w:rPr>
          <w:rFonts w:cstheme="minorHAnsi"/>
        </w:rPr>
        <w:t>pursuing group schema therapy ISST certificatio</w:t>
      </w:r>
      <w:r w:rsidR="00E432C1">
        <w:rPr>
          <w:rFonts w:cstheme="minorHAnsi"/>
        </w:rPr>
        <w:t>n</w:t>
      </w:r>
      <w:r>
        <w:rPr>
          <w:rFonts w:cstheme="minorHAnsi"/>
        </w:rPr>
        <w:t xml:space="preserve">. It requires </w:t>
      </w:r>
      <w:r w:rsidR="008B60E1">
        <w:rPr>
          <w:rFonts w:cstheme="minorHAnsi"/>
        </w:rPr>
        <w:t>having at least 12 hours of schema therapy training via other workshops or a course of reading approved by the presenters. In these days</w:t>
      </w:r>
      <w:r w:rsidR="0008637C">
        <w:rPr>
          <w:rFonts w:cstheme="minorHAnsi"/>
        </w:rPr>
        <w:t xml:space="preserve"> y</w:t>
      </w:r>
      <w:r w:rsidR="00072601" w:rsidRPr="006C0C93">
        <w:rPr>
          <w:rFonts w:cstheme="minorHAnsi"/>
        </w:rPr>
        <w:t xml:space="preserve">ou will learn to adapt </w:t>
      </w:r>
      <w:r w:rsidR="008B60E1">
        <w:rPr>
          <w:rFonts w:cstheme="minorHAnsi"/>
        </w:rPr>
        <w:t>individual Schema therapy interventions</w:t>
      </w:r>
      <w:r w:rsidR="00072601" w:rsidRPr="006C0C93">
        <w:rPr>
          <w:rFonts w:cstheme="minorHAnsi"/>
        </w:rPr>
        <w:t xml:space="preserve"> </w:t>
      </w:r>
      <w:r w:rsidR="008B60E1">
        <w:rPr>
          <w:rFonts w:cstheme="minorHAnsi"/>
        </w:rPr>
        <w:t xml:space="preserve">like imagery rescripting and mode dialogues in chairs </w:t>
      </w:r>
      <w:r w:rsidR="00072601" w:rsidRPr="006C0C93">
        <w:rPr>
          <w:rFonts w:cstheme="minorHAnsi"/>
        </w:rPr>
        <w:t xml:space="preserve">to the group </w:t>
      </w:r>
      <w:r w:rsidR="008B60E1">
        <w:rPr>
          <w:rFonts w:cstheme="minorHAnsi"/>
        </w:rPr>
        <w:t>modality</w:t>
      </w:r>
      <w:r w:rsidR="00072601" w:rsidRPr="006C0C93">
        <w:rPr>
          <w:rFonts w:cstheme="minorHAnsi"/>
        </w:rPr>
        <w:t xml:space="preserve">, and how to harness the therapeutic factors of the group to catalyze schema healing. </w:t>
      </w:r>
      <w:r w:rsidR="00711F7D" w:rsidRPr="006C0C93">
        <w:rPr>
          <w:rFonts w:cstheme="minorHAnsi"/>
        </w:rPr>
        <w:t xml:space="preserve">Using </w:t>
      </w:r>
      <w:r w:rsidR="00711F7D" w:rsidRPr="006C0C93">
        <w:rPr>
          <w:rFonts w:cstheme="minorHAnsi"/>
          <w:b/>
          <w:bCs/>
        </w:rPr>
        <w:t>The Schema Therapy Clinician’s Guide</w:t>
      </w:r>
      <w:r w:rsidR="00711F7D" w:rsidRPr="006C0C93">
        <w:rPr>
          <w:rFonts w:cstheme="minorHAnsi"/>
        </w:rPr>
        <w:t xml:space="preserve"> </w:t>
      </w:r>
      <w:r w:rsidR="00E432C1">
        <w:rPr>
          <w:rFonts w:cstheme="minorHAnsi"/>
        </w:rPr>
        <w:t xml:space="preserve">(Farrell, Reiss &amp; Shaw, 2014) </w:t>
      </w:r>
      <w:r w:rsidR="00711F7D" w:rsidRPr="006C0C93">
        <w:rPr>
          <w:rFonts w:cstheme="minorHAnsi"/>
        </w:rPr>
        <w:t xml:space="preserve">and </w:t>
      </w:r>
      <w:r w:rsidR="00711F7D" w:rsidRPr="006C0C93">
        <w:rPr>
          <w:rFonts w:cstheme="minorHAnsi"/>
          <w:b/>
          <w:bCs/>
        </w:rPr>
        <w:t>Group Schema Therapy for Borderline Personality Disorder</w:t>
      </w:r>
      <w:r w:rsidR="00E432C1">
        <w:rPr>
          <w:rFonts w:cstheme="minorHAnsi"/>
          <w:b/>
          <w:bCs/>
        </w:rPr>
        <w:t xml:space="preserve"> </w:t>
      </w:r>
      <w:r w:rsidR="00E432C1" w:rsidRPr="00E432C1">
        <w:rPr>
          <w:rFonts w:cstheme="minorHAnsi"/>
        </w:rPr>
        <w:t>(</w:t>
      </w:r>
      <w:r w:rsidR="00E432C1">
        <w:rPr>
          <w:rFonts w:cstheme="minorHAnsi"/>
        </w:rPr>
        <w:t xml:space="preserve">Farrell &amp; Shaw, </w:t>
      </w:r>
      <w:r w:rsidR="00E432C1" w:rsidRPr="00E432C1">
        <w:rPr>
          <w:rFonts w:cstheme="minorHAnsi"/>
        </w:rPr>
        <w:t>2012)</w:t>
      </w:r>
      <w:r w:rsidR="00711F7D" w:rsidRPr="00E432C1">
        <w:rPr>
          <w:rFonts w:cstheme="minorHAnsi"/>
        </w:rPr>
        <w:t>,</w:t>
      </w:r>
      <w:r w:rsidR="00711F7D" w:rsidRPr="006C0C93">
        <w:rPr>
          <w:rFonts w:cstheme="minorHAnsi"/>
        </w:rPr>
        <w:t xml:space="preserve"> you will learn to</w:t>
      </w:r>
      <w:r w:rsidR="006C2F5E" w:rsidRPr="006C0C93">
        <w:rPr>
          <w:rFonts w:cstheme="minorHAnsi"/>
        </w:rPr>
        <w:t xml:space="preserve"> develop</w:t>
      </w:r>
      <w:r w:rsidR="00711F7D" w:rsidRPr="006C0C93">
        <w:rPr>
          <w:rFonts w:cstheme="minorHAnsi"/>
        </w:rPr>
        <w:t xml:space="preserve"> your</w:t>
      </w:r>
      <w:r w:rsidR="006C2F5E" w:rsidRPr="006C0C93">
        <w:rPr>
          <w:rFonts w:cstheme="minorHAnsi"/>
        </w:rPr>
        <w:t xml:space="preserve"> own protocols for the populations </w:t>
      </w:r>
      <w:r w:rsidR="00711F7D" w:rsidRPr="006C0C93">
        <w:rPr>
          <w:rFonts w:cstheme="minorHAnsi"/>
        </w:rPr>
        <w:t>you</w:t>
      </w:r>
      <w:r w:rsidR="006C2F5E" w:rsidRPr="006C0C93">
        <w:rPr>
          <w:rFonts w:cstheme="minorHAnsi"/>
        </w:rPr>
        <w:t xml:space="preserve"> want to treat and the setting </w:t>
      </w:r>
      <w:r w:rsidR="00711F7D" w:rsidRPr="006C0C93">
        <w:rPr>
          <w:rFonts w:cstheme="minorHAnsi"/>
        </w:rPr>
        <w:t xml:space="preserve">you </w:t>
      </w:r>
      <w:r w:rsidR="006C2F5E" w:rsidRPr="006C0C93">
        <w:rPr>
          <w:rFonts w:cstheme="minorHAnsi"/>
        </w:rPr>
        <w:t>are in.</w:t>
      </w:r>
      <w:r w:rsidR="00711F7D" w:rsidRPr="006C0C93">
        <w:rPr>
          <w:rFonts w:cstheme="minorHAnsi"/>
        </w:rPr>
        <w:t xml:space="preserve"> These two volumes were the protocols for the </w:t>
      </w:r>
      <w:r w:rsidR="0008637C">
        <w:rPr>
          <w:rFonts w:cstheme="minorHAnsi"/>
        </w:rPr>
        <w:t xml:space="preserve">clinical </w:t>
      </w:r>
      <w:r w:rsidR="00711F7D" w:rsidRPr="006C0C93">
        <w:rPr>
          <w:rFonts w:cstheme="minorHAnsi"/>
        </w:rPr>
        <w:t>trials of GST for BPD</w:t>
      </w:r>
      <w:r w:rsidR="0008637C">
        <w:rPr>
          <w:rFonts w:cstheme="minorHAnsi"/>
        </w:rPr>
        <w:t xml:space="preserve"> and Avoidant personality disorder</w:t>
      </w:r>
      <w:r w:rsidR="00711F7D" w:rsidRPr="006C0C93">
        <w:rPr>
          <w:rFonts w:cstheme="minorHAnsi"/>
        </w:rPr>
        <w:t xml:space="preserve">. They </w:t>
      </w:r>
      <w:r w:rsidR="00072601" w:rsidRPr="006C0C93">
        <w:rPr>
          <w:rFonts w:cstheme="minorHAnsi"/>
        </w:rPr>
        <w:t>contain a foundation program of ST, with session plans, sample therapist scripts, exercises, and homework, for 42 GST and 36 individual sessions, which can be flexibly adapted to your group.</w:t>
      </w:r>
      <w:r w:rsidR="006C2F5E" w:rsidRPr="006C0C93">
        <w:rPr>
          <w:rFonts w:cstheme="minorHAnsi"/>
        </w:rPr>
        <w:t xml:space="preserve"> GST</w:t>
      </w:r>
      <w:r w:rsidR="005D6B4A" w:rsidRPr="006C0C93">
        <w:rPr>
          <w:rFonts w:cstheme="minorHAnsi"/>
        </w:rPr>
        <w:t xml:space="preserve"> can be delivered in 20 to 30 sessions, or a tapering schedule over two years for </w:t>
      </w:r>
      <w:r w:rsidR="00072601" w:rsidRPr="006C0C93">
        <w:rPr>
          <w:rFonts w:cstheme="minorHAnsi"/>
        </w:rPr>
        <w:t>severe PD, with varying amounts of individual sessions.</w:t>
      </w:r>
      <w:r w:rsidR="006C2F5E" w:rsidRPr="006C0C93">
        <w:rPr>
          <w:rFonts w:cstheme="minorHAnsi"/>
        </w:rPr>
        <w:t xml:space="preserve"> These protocols are designed for </w:t>
      </w:r>
      <w:r w:rsidR="000317F2">
        <w:rPr>
          <w:rFonts w:cstheme="minorHAnsi"/>
        </w:rPr>
        <w:t xml:space="preserve">and are being used with </w:t>
      </w:r>
      <w:r w:rsidR="006C2F5E" w:rsidRPr="006C0C93">
        <w:rPr>
          <w:rFonts w:cstheme="minorHAnsi"/>
        </w:rPr>
        <w:t xml:space="preserve">mixed diagnosis groups </w:t>
      </w:r>
      <w:r w:rsidR="000317F2">
        <w:rPr>
          <w:rFonts w:cstheme="minorHAnsi"/>
        </w:rPr>
        <w:t>and</w:t>
      </w:r>
      <w:r w:rsidR="006C2F5E" w:rsidRPr="006C0C93">
        <w:rPr>
          <w:rFonts w:cstheme="minorHAnsi"/>
        </w:rPr>
        <w:t xml:space="preserve"> homogeneous ones. </w:t>
      </w:r>
    </w:p>
    <w:p w14:paraId="255E6696" w14:textId="04D09630" w:rsidR="0008637C" w:rsidRPr="0008637C" w:rsidRDefault="0008637C" w:rsidP="0008637C">
      <w:pPr>
        <w:ind w:firstLine="720"/>
        <w:rPr>
          <w:rFonts w:cstheme="minorHAnsi"/>
        </w:rPr>
      </w:pPr>
      <w:r w:rsidRPr="006C0C93">
        <w:rPr>
          <w:rFonts w:cstheme="minorHAnsi"/>
        </w:rPr>
        <w:t xml:space="preserve">Exercises from </w:t>
      </w:r>
      <w:r w:rsidR="00E432C1">
        <w:rPr>
          <w:rFonts w:cstheme="minorHAnsi"/>
        </w:rPr>
        <w:t>“</w:t>
      </w:r>
      <w:r w:rsidRPr="006C0C93">
        <w:rPr>
          <w:rFonts w:cstheme="minorHAnsi"/>
          <w:b/>
          <w:bCs/>
        </w:rPr>
        <w:t>The Deliberate Practice of Schema Therapy</w:t>
      </w:r>
      <w:r w:rsidR="00E432C1">
        <w:rPr>
          <w:rFonts w:cstheme="minorHAnsi"/>
          <w:b/>
          <w:bCs/>
        </w:rPr>
        <w:t>”</w:t>
      </w:r>
      <w:r w:rsidRPr="006C0C93">
        <w:rPr>
          <w:rFonts w:cstheme="minorHAnsi"/>
        </w:rPr>
        <w:t xml:space="preserve"> </w:t>
      </w:r>
      <w:r>
        <w:rPr>
          <w:rFonts w:cstheme="minorHAnsi"/>
        </w:rPr>
        <w:t>(Behary, Farrell, et al., 2024) are</w:t>
      </w:r>
      <w:r w:rsidRPr="006C0C93">
        <w:rPr>
          <w:rFonts w:cstheme="minorHAnsi"/>
        </w:rPr>
        <w:t xml:space="preserve"> employed to assist participants in achieving mastery of the</w:t>
      </w:r>
      <w:r w:rsidR="000076B8">
        <w:rPr>
          <w:rFonts w:cstheme="minorHAnsi"/>
        </w:rPr>
        <w:t xml:space="preserve"> group</w:t>
      </w:r>
      <w:r w:rsidRPr="006C0C93">
        <w:rPr>
          <w:rFonts w:cstheme="minorHAnsi"/>
        </w:rPr>
        <w:t xml:space="preserve"> interventions. The training is 50% didactic and 50% </w:t>
      </w:r>
      <w:r w:rsidR="000076B8">
        <w:rPr>
          <w:rFonts w:cstheme="minorHAnsi"/>
        </w:rPr>
        <w:t xml:space="preserve">including breakout </w:t>
      </w:r>
      <w:r w:rsidRPr="006C0C93">
        <w:rPr>
          <w:rFonts w:cstheme="minorHAnsi"/>
        </w:rPr>
        <w:t xml:space="preserve">practice </w:t>
      </w:r>
      <w:r w:rsidR="000076B8">
        <w:rPr>
          <w:rFonts w:cstheme="minorHAnsi"/>
        </w:rPr>
        <w:t xml:space="preserve">sessions </w:t>
      </w:r>
      <w:r w:rsidRPr="006C0C93">
        <w:rPr>
          <w:rFonts w:cstheme="minorHAnsi"/>
        </w:rPr>
        <w:t>with coaching by Joan and</w:t>
      </w:r>
      <w:r>
        <w:rPr>
          <w:rFonts w:cstheme="minorHAnsi"/>
        </w:rPr>
        <w:t xml:space="preserve"> </w:t>
      </w:r>
      <w:r w:rsidR="00222365">
        <w:rPr>
          <w:rFonts w:cstheme="minorHAnsi"/>
        </w:rPr>
        <w:t>Ida</w:t>
      </w:r>
      <w:r w:rsidRPr="006C0C93">
        <w:rPr>
          <w:rFonts w:cstheme="minorHAnsi"/>
        </w:rPr>
        <w:t xml:space="preserve">. </w:t>
      </w:r>
      <w:r w:rsidR="00222365">
        <w:rPr>
          <w:rFonts w:cstheme="minorHAnsi"/>
        </w:rPr>
        <w:t xml:space="preserve">Enrollment is limited to </w:t>
      </w:r>
      <w:r w:rsidR="00E432C1">
        <w:rPr>
          <w:rFonts w:cstheme="minorHAnsi"/>
        </w:rPr>
        <w:t>4</w:t>
      </w:r>
      <w:r w:rsidR="00222365">
        <w:rPr>
          <w:rFonts w:cstheme="minorHAnsi"/>
        </w:rPr>
        <w:t xml:space="preserve">0 so that each group will have </w:t>
      </w:r>
      <w:r w:rsidR="000076B8">
        <w:rPr>
          <w:rFonts w:cstheme="minorHAnsi"/>
        </w:rPr>
        <w:t>a coach</w:t>
      </w:r>
      <w:r w:rsidR="00222365">
        <w:rPr>
          <w:rFonts w:cstheme="minorHAnsi"/>
        </w:rPr>
        <w:t xml:space="preserve"> during practice. </w:t>
      </w:r>
      <w:r>
        <w:rPr>
          <w:rFonts w:cstheme="minorHAnsi"/>
        </w:rPr>
        <w:t xml:space="preserve">The training includes </w:t>
      </w:r>
      <w:r w:rsidR="009E7AE7">
        <w:rPr>
          <w:rFonts w:cstheme="minorHAnsi"/>
        </w:rPr>
        <w:t>a day of</w:t>
      </w:r>
      <w:r>
        <w:rPr>
          <w:rFonts w:cstheme="minorHAnsi"/>
        </w:rPr>
        <w:t xml:space="preserve"> </w:t>
      </w:r>
      <w:r w:rsidRPr="0008637C">
        <w:rPr>
          <w:rFonts w:cstheme="minorHAnsi"/>
          <w:b/>
          <w:bCs/>
        </w:rPr>
        <w:t>Self-Practice/Self-Reflection</w:t>
      </w:r>
      <w:r>
        <w:rPr>
          <w:rFonts w:cstheme="minorHAnsi"/>
          <w:b/>
          <w:bCs/>
        </w:rPr>
        <w:t xml:space="preserve"> </w:t>
      </w:r>
      <w:r w:rsidRPr="0008637C">
        <w:rPr>
          <w:rFonts w:cstheme="minorHAnsi"/>
        </w:rPr>
        <w:t>(</w:t>
      </w:r>
      <w:r w:rsidR="00E432C1" w:rsidRPr="00E432C1">
        <w:rPr>
          <w:rFonts w:cstheme="minorHAnsi"/>
          <w:b/>
          <w:bCs/>
        </w:rPr>
        <w:t>Experiencing Schema Therapy from the Inside out</w:t>
      </w:r>
      <w:r w:rsidR="00E432C1">
        <w:rPr>
          <w:rFonts w:cstheme="minorHAnsi"/>
        </w:rPr>
        <w:t>”) F</w:t>
      </w:r>
      <w:r w:rsidRPr="0008637C">
        <w:rPr>
          <w:rFonts w:cstheme="minorHAnsi"/>
        </w:rPr>
        <w:t>arrell &amp; Shaw, 2018)</w:t>
      </w:r>
      <w:r>
        <w:rPr>
          <w:rFonts w:cstheme="minorHAnsi"/>
        </w:rPr>
        <w:t xml:space="preserve">, allowing participants to experience GST interventions </w:t>
      </w:r>
      <w:r w:rsidR="000076B8">
        <w:rPr>
          <w:rFonts w:cstheme="minorHAnsi"/>
        </w:rPr>
        <w:t>firsthand</w:t>
      </w:r>
      <w:r>
        <w:rPr>
          <w:rFonts w:cstheme="minorHAnsi"/>
        </w:rPr>
        <w:t>.</w:t>
      </w:r>
      <w:r w:rsidR="009E7AE7">
        <w:rPr>
          <w:rFonts w:cstheme="minorHAnsi"/>
        </w:rPr>
        <w:t xml:space="preserve"> </w:t>
      </w:r>
      <w:r w:rsidR="00222365">
        <w:rPr>
          <w:rFonts w:cstheme="minorHAnsi"/>
        </w:rPr>
        <w:t xml:space="preserve">This experience </w:t>
      </w:r>
      <w:r w:rsidR="009E7AE7">
        <w:rPr>
          <w:rFonts w:cstheme="minorHAnsi"/>
        </w:rPr>
        <w:t xml:space="preserve">allows therapists to recognize their schemas and modes activated by a group. This is essential learning to be an effective group schema therapist. </w:t>
      </w:r>
    </w:p>
    <w:p w14:paraId="72DED712" w14:textId="10DA5663" w:rsidR="000076B8" w:rsidRDefault="000076B8" w:rsidP="000076B8">
      <w:pPr>
        <w:ind w:firstLine="720"/>
      </w:pPr>
      <w:r w:rsidRPr="000076B8">
        <w:t>GST has robust empirical support, including two randomized controlled trials (RCTs). The first (Farrell, Shaw &amp; Webber, 2009) demonstrated substantial symptom reduction and improved functioning for BPD patients in a 30-session outpatient group. The recent international RCT with 495 patients (Arntz, Shaw, Farrell, et al., 2022) found combined individual and group ST to be more effective than specialized treatment as usual (TAU).</w:t>
      </w:r>
    </w:p>
    <w:p w14:paraId="3124B963" w14:textId="668B4904" w:rsidR="0008637C" w:rsidRPr="006C0C93" w:rsidRDefault="0008637C" w:rsidP="0008637C">
      <w:pPr>
        <w:ind w:firstLine="720"/>
        <w:rPr>
          <w:rFonts w:cstheme="minorHAnsi"/>
        </w:rPr>
      </w:pPr>
      <w:r w:rsidRPr="006C0C93">
        <w:rPr>
          <w:rFonts w:cstheme="minorHAnsi"/>
        </w:rPr>
        <w:t xml:space="preserve">This course </w:t>
      </w:r>
      <w:r>
        <w:rPr>
          <w:rFonts w:cstheme="minorHAnsi"/>
        </w:rPr>
        <w:t xml:space="preserve">can be used for </w:t>
      </w:r>
      <w:r w:rsidR="00E432C1">
        <w:rPr>
          <w:rFonts w:cstheme="minorHAnsi"/>
        </w:rPr>
        <w:t xml:space="preserve">24 </w:t>
      </w:r>
      <w:r>
        <w:rPr>
          <w:rFonts w:cstheme="minorHAnsi"/>
        </w:rPr>
        <w:t>hours of ISST certification credit in GST</w:t>
      </w:r>
      <w:r w:rsidR="00E432C1">
        <w:rPr>
          <w:rFonts w:cstheme="minorHAnsi"/>
        </w:rPr>
        <w:t xml:space="preserve"> or JYSTA Continuing Education credit.</w:t>
      </w:r>
      <w:r>
        <w:rPr>
          <w:rFonts w:cstheme="minorHAnsi"/>
        </w:rPr>
        <w:t xml:space="preserve"> It </w:t>
      </w:r>
      <w:r w:rsidRPr="006C0C93">
        <w:rPr>
          <w:rFonts w:cstheme="minorHAnsi"/>
        </w:rPr>
        <w:t xml:space="preserve">is also open to those who just want to develop their group or ST skills. </w:t>
      </w:r>
    </w:p>
    <w:p w14:paraId="061428F8" w14:textId="6A39B6D4" w:rsidR="0008637C" w:rsidRDefault="0008637C" w:rsidP="00072601">
      <w:pPr>
        <w:rPr>
          <w:rFonts w:cstheme="minorHAnsi"/>
          <w:b/>
          <w:bCs/>
        </w:rPr>
      </w:pPr>
    </w:p>
    <w:p w14:paraId="36E5FB57" w14:textId="52A99512" w:rsidR="006C0C93" w:rsidRPr="008B60E1" w:rsidRDefault="006C0C93" w:rsidP="008B60E1">
      <w:pPr>
        <w:pStyle w:val="Heading3"/>
        <w:ind w:left="109" w:right="885"/>
        <w:rPr>
          <w:rFonts w:asciiTheme="minorHAnsi" w:hAnsiTheme="minorHAnsi" w:cstheme="minorHAnsi"/>
          <w:b w:val="0"/>
          <w:bCs w:val="0"/>
          <w:sz w:val="24"/>
          <w:szCs w:val="24"/>
        </w:rPr>
      </w:pPr>
      <w:r w:rsidRPr="006C0C93">
        <w:rPr>
          <w:rFonts w:asciiTheme="minorHAnsi" w:hAnsiTheme="minorHAnsi" w:cstheme="minorHAnsi"/>
          <w:sz w:val="24"/>
          <w:szCs w:val="24"/>
        </w:rPr>
        <w:t>A quote from the founder of Schema Therapy, Jeffrey Young PhD, who attended a Farrell-Shaw GST Workshop</w:t>
      </w:r>
      <w:r w:rsidRPr="008B60E1">
        <w:rPr>
          <w:rFonts w:asciiTheme="minorHAnsi" w:hAnsiTheme="minorHAnsi" w:cstheme="minorHAnsi"/>
          <w:b w:val="0"/>
          <w:bCs w:val="0"/>
          <w:sz w:val="24"/>
          <w:szCs w:val="24"/>
        </w:rPr>
        <w:t>:</w:t>
      </w:r>
      <w:r w:rsidR="00E432C1">
        <w:rPr>
          <w:rFonts w:asciiTheme="minorHAnsi" w:hAnsiTheme="minorHAnsi" w:cstheme="minorHAnsi"/>
          <w:b w:val="0"/>
          <w:bCs w:val="0"/>
          <w:sz w:val="24"/>
          <w:szCs w:val="24"/>
        </w:rPr>
        <w:t xml:space="preserve"> </w:t>
      </w:r>
      <w:r w:rsidRPr="008B60E1">
        <w:rPr>
          <w:rFonts w:cstheme="minorHAnsi"/>
          <w:b w:val="0"/>
          <w:bCs w:val="0"/>
          <w:i/>
        </w:rPr>
        <w:t xml:space="preserve">“Group Schema Therapy has the potential to deliver the powerful treatment strategies of the schema approach in a more </w:t>
      </w:r>
      <w:r w:rsidR="009E7AE7" w:rsidRPr="008B60E1">
        <w:rPr>
          <w:rFonts w:cstheme="minorHAnsi"/>
          <w:b w:val="0"/>
          <w:bCs w:val="0"/>
          <w:i/>
        </w:rPr>
        <w:t>cost-effective</w:t>
      </w:r>
      <w:r w:rsidRPr="008B60E1">
        <w:rPr>
          <w:rFonts w:cstheme="minorHAnsi"/>
          <w:b w:val="0"/>
          <w:bCs w:val="0"/>
          <w:i/>
        </w:rPr>
        <w:t xml:space="preserve"> manner than has been possible with individual schema therapy -- with equivalent or </w:t>
      </w:r>
      <w:r w:rsidRPr="008B60E1">
        <w:rPr>
          <w:rFonts w:cstheme="minorHAnsi"/>
          <w:b w:val="0"/>
          <w:bCs w:val="0"/>
          <w:i/>
        </w:rPr>
        <w:lastRenderedPageBreak/>
        <w:t>perhaps superior results. The experience that the authors have gained over 30 years is evident throughout. The approach Joan and Ida have developed is truly unique, exciting and promising. Joan Farrell is an outstanding schema therapist who serves as the “stable base”, emotional center, and “educator” for the group as a whole – a role I can imagine myself learning to fill, given enough time and experience. What truly amazed me – perhaps because her style is so different from mine and Joan’s -- was the remarkable group work of Ida Shaw. It is hard to convey the level of originality, creativity, and spontaneity she brings to the group experience. She is able to blend elements of gestalt, psychodrama, role-playing, and her own infectious style of play into an approach that perfectly fits the intensive demands of schema mode work, cajoling patients to change in profound ways.”</w:t>
      </w:r>
    </w:p>
    <w:p w14:paraId="2719A507" w14:textId="7CB37B6B" w:rsidR="006949EE" w:rsidRPr="009E7AE7" w:rsidRDefault="006949EE" w:rsidP="006949EE">
      <w:pPr>
        <w:spacing w:line="251" w:lineRule="exact"/>
        <w:ind w:left="109"/>
        <w:rPr>
          <w:rFonts w:cstheme="minorHAnsi"/>
          <w:b/>
          <w:bCs/>
          <w:i/>
          <w:iCs/>
        </w:rPr>
      </w:pPr>
    </w:p>
    <w:p w14:paraId="2735D366" w14:textId="1EFF9336" w:rsidR="00AE62DF" w:rsidRPr="00222365" w:rsidRDefault="006949EE" w:rsidP="00222365">
      <w:pPr>
        <w:spacing w:line="251" w:lineRule="exact"/>
        <w:rPr>
          <w:rFonts w:cstheme="minorHAnsi"/>
          <w:b/>
          <w:bCs/>
          <w:i/>
        </w:rPr>
      </w:pPr>
      <w:r w:rsidRPr="00222365">
        <w:rPr>
          <w:rFonts w:cstheme="minorHAnsi"/>
          <w:b/>
          <w:bCs/>
        </w:rPr>
        <w:t>R</w:t>
      </w:r>
      <w:r w:rsidR="00F03516" w:rsidRPr="00222365">
        <w:rPr>
          <w:rFonts w:cstheme="minorHAnsi"/>
          <w:b/>
          <w:bCs/>
        </w:rPr>
        <w:t>eferences used:</w:t>
      </w:r>
    </w:p>
    <w:p w14:paraId="6F7DDFA2" w14:textId="5EC6534D" w:rsidR="00F03516" w:rsidRPr="009E7AE7" w:rsidRDefault="00F03516" w:rsidP="00F03516">
      <w:pPr>
        <w:rPr>
          <w:rFonts w:cstheme="minorHAnsi"/>
          <w:i/>
          <w:iCs/>
        </w:rPr>
      </w:pPr>
      <w:r w:rsidRPr="006C0C93">
        <w:rPr>
          <w:rFonts w:cstheme="minorHAnsi"/>
        </w:rPr>
        <w:t xml:space="preserve">Farrell, JM &amp; Shaw, IA (2012) </w:t>
      </w:r>
      <w:r w:rsidRPr="009E7AE7">
        <w:rPr>
          <w:rFonts w:cstheme="minorHAnsi"/>
          <w:i/>
          <w:iCs/>
        </w:rPr>
        <w:t>Group Schema Therapy for Borderline Personality Disorder: A</w:t>
      </w:r>
    </w:p>
    <w:p w14:paraId="7D8C217D" w14:textId="57B17821" w:rsidR="00F03516" w:rsidRPr="006C0C93" w:rsidRDefault="00F03516" w:rsidP="00F03516">
      <w:pPr>
        <w:rPr>
          <w:rFonts w:cstheme="minorHAnsi"/>
        </w:rPr>
      </w:pPr>
      <w:r w:rsidRPr="009E7AE7">
        <w:rPr>
          <w:rFonts w:cstheme="minorHAnsi"/>
          <w:i/>
          <w:iCs/>
        </w:rPr>
        <w:t>Step-by Step Treatment Manual with Patient Workbook</w:t>
      </w:r>
      <w:r w:rsidRPr="006C0C93">
        <w:rPr>
          <w:rFonts w:cstheme="minorHAnsi"/>
        </w:rPr>
        <w:t xml:space="preserve">. Wiley-Blackwell </w:t>
      </w:r>
    </w:p>
    <w:p w14:paraId="7B4A93DB" w14:textId="77777777" w:rsidR="00F03516" w:rsidRPr="009E7AE7" w:rsidRDefault="00F03516" w:rsidP="00F03516">
      <w:pPr>
        <w:rPr>
          <w:rFonts w:cstheme="minorHAnsi"/>
          <w:i/>
          <w:iCs/>
        </w:rPr>
      </w:pPr>
      <w:r w:rsidRPr="006C0C93">
        <w:rPr>
          <w:rFonts w:cstheme="minorHAnsi"/>
        </w:rPr>
        <w:t xml:space="preserve">Farrell, JM, Reiss, N, and Shaw, I (2014) </w:t>
      </w:r>
      <w:r w:rsidRPr="009E7AE7">
        <w:rPr>
          <w:rFonts w:cstheme="minorHAnsi"/>
          <w:i/>
          <w:iCs/>
        </w:rPr>
        <w:t>The Schema therapy Clinicians Guide: A complete</w:t>
      </w:r>
    </w:p>
    <w:p w14:paraId="02CA2864" w14:textId="3972F9D0" w:rsidR="00F03516" w:rsidRPr="006C0C93" w:rsidRDefault="00F03516" w:rsidP="00F03516">
      <w:pPr>
        <w:rPr>
          <w:rFonts w:cstheme="minorHAnsi"/>
        </w:rPr>
      </w:pPr>
      <w:r w:rsidRPr="009E7AE7">
        <w:rPr>
          <w:rFonts w:cstheme="minorHAnsi"/>
          <w:i/>
          <w:iCs/>
        </w:rPr>
        <w:t>manual for implementing integrated individual and group Schema Therapy Programs</w:t>
      </w:r>
      <w:r w:rsidRPr="006C0C93">
        <w:rPr>
          <w:rFonts w:cstheme="minorHAnsi"/>
        </w:rPr>
        <w:t>, Wiley-</w:t>
      </w:r>
      <w:r w:rsidR="009E7AE7">
        <w:rPr>
          <w:rFonts w:cstheme="minorHAnsi"/>
        </w:rPr>
        <w:t>Blackwell, 2014</w:t>
      </w:r>
    </w:p>
    <w:p w14:paraId="0BC5F553" w14:textId="3DBA90AB" w:rsidR="00F03516" w:rsidRPr="006C0C93" w:rsidRDefault="00F03516" w:rsidP="00A43EA2">
      <w:pPr>
        <w:autoSpaceDE w:val="0"/>
        <w:autoSpaceDN w:val="0"/>
        <w:adjustRightInd w:val="0"/>
        <w:rPr>
          <w:rFonts w:cstheme="minorHAnsi"/>
          <w:kern w:val="0"/>
        </w:rPr>
      </w:pPr>
      <w:r w:rsidRPr="006C0C93">
        <w:rPr>
          <w:rFonts w:cstheme="minorHAnsi"/>
          <w:kern w:val="0"/>
        </w:rPr>
        <w:t xml:space="preserve">Farrell, JM and Shaw, IA (2018) </w:t>
      </w:r>
      <w:r w:rsidRPr="009E7AE7">
        <w:rPr>
          <w:rFonts w:cstheme="minorHAnsi"/>
          <w:i/>
          <w:iCs/>
          <w:kern w:val="0"/>
        </w:rPr>
        <w:t>Experiencing Schema Therapy from the Inside Out: A self-practice/self-reflection workbook for Therapists</w:t>
      </w:r>
      <w:r w:rsidRPr="006C0C93">
        <w:rPr>
          <w:rFonts w:cstheme="minorHAnsi"/>
          <w:kern w:val="0"/>
        </w:rPr>
        <w:t>, Guilford</w:t>
      </w:r>
      <w:r w:rsidR="009E7AE7">
        <w:rPr>
          <w:rFonts w:cstheme="minorHAnsi"/>
          <w:kern w:val="0"/>
        </w:rPr>
        <w:t xml:space="preserve"> Press</w:t>
      </w:r>
    </w:p>
    <w:p w14:paraId="2573FD74" w14:textId="0DA29B57" w:rsidR="00B70E2A" w:rsidRPr="006C0C93" w:rsidRDefault="00F03516" w:rsidP="00F03516">
      <w:pPr>
        <w:rPr>
          <w:rFonts w:cstheme="minorHAnsi"/>
        </w:rPr>
      </w:pPr>
      <w:r w:rsidRPr="006C0C93">
        <w:rPr>
          <w:rFonts w:cstheme="minorHAnsi"/>
        </w:rPr>
        <w:t>Behary, WT</w:t>
      </w:r>
      <w:r w:rsidR="002B602E" w:rsidRPr="006C0C93">
        <w:rPr>
          <w:rFonts w:cstheme="minorHAnsi"/>
        </w:rPr>
        <w:t>,</w:t>
      </w:r>
      <w:r w:rsidRPr="006C0C93">
        <w:rPr>
          <w:rFonts w:cstheme="minorHAnsi"/>
        </w:rPr>
        <w:t xml:space="preserve"> </w:t>
      </w:r>
      <w:r w:rsidR="002B602E" w:rsidRPr="006C0C93">
        <w:rPr>
          <w:rFonts w:cstheme="minorHAnsi"/>
        </w:rPr>
        <w:t xml:space="preserve">Farrell, JM, Rousmaniere, T, Vaz, A. (2023)  </w:t>
      </w:r>
      <w:r w:rsidR="002B602E" w:rsidRPr="009E7AE7">
        <w:rPr>
          <w:rFonts w:cstheme="minorHAnsi"/>
          <w:i/>
          <w:iCs/>
        </w:rPr>
        <w:t xml:space="preserve">The </w:t>
      </w:r>
      <w:r w:rsidRPr="009E7AE7">
        <w:rPr>
          <w:rFonts w:cstheme="minorHAnsi"/>
          <w:i/>
          <w:iCs/>
        </w:rPr>
        <w:t>Deliberate Practice of Schema Therapy,</w:t>
      </w:r>
      <w:r w:rsidRPr="006C0C93">
        <w:rPr>
          <w:rFonts w:cstheme="minorHAnsi"/>
        </w:rPr>
        <w:t xml:space="preserve"> American Psychological Association Press</w:t>
      </w:r>
    </w:p>
    <w:p w14:paraId="3A49D6B7" w14:textId="09676A7A" w:rsidR="00B70E2A" w:rsidRDefault="00222365" w:rsidP="006949EE">
      <w:pPr>
        <w:rPr>
          <w:rFonts w:cstheme="minorHAnsi"/>
        </w:rPr>
      </w:pPr>
      <w:r w:rsidRPr="00A43EA2">
        <w:rPr>
          <w:rFonts w:cstheme="minorHAnsi"/>
          <w:b/>
          <w:bCs/>
        </w:rPr>
        <w:t>For more information and an application</w:t>
      </w:r>
      <w:r>
        <w:rPr>
          <w:rFonts w:cstheme="minorHAnsi"/>
        </w:rPr>
        <w:t xml:space="preserve"> go to </w:t>
      </w:r>
      <w:hyperlink r:id="rId9" w:history="1">
        <w:r w:rsidRPr="00E31E73">
          <w:rPr>
            <w:rStyle w:val="Hyperlink"/>
            <w:rFonts w:cstheme="minorHAnsi"/>
          </w:rPr>
          <w:t>www.schematherapy-training.com</w:t>
        </w:r>
      </w:hyperlink>
      <w:r>
        <w:rPr>
          <w:rFonts w:cstheme="minorHAnsi"/>
        </w:rPr>
        <w:t xml:space="preserve"> </w:t>
      </w:r>
    </w:p>
    <w:p w14:paraId="61D14705" w14:textId="15A226BA" w:rsidR="00222365" w:rsidRDefault="00A43EA2" w:rsidP="006949EE">
      <w:pPr>
        <w:rPr>
          <w:rFonts w:cstheme="minorHAnsi"/>
        </w:rPr>
      </w:pPr>
      <w:r>
        <w:rPr>
          <w:rFonts w:cstheme="minorHAnsi"/>
          <w:noProof/>
        </w:rPr>
        <w:drawing>
          <wp:anchor distT="0" distB="0" distL="114300" distR="114300" simplePos="0" relativeHeight="251669504" behindDoc="1" locked="0" layoutInCell="1" allowOverlap="1" wp14:anchorId="11976D58" wp14:editId="23FE6974">
            <wp:simplePos x="0" y="0"/>
            <wp:positionH relativeFrom="column">
              <wp:posOffset>0</wp:posOffset>
            </wp:positionH>
            <wp:positionV relativeFrom="paragraph">
              <wp:posOffset>184150</wp:posOffset>
            </wp:positionV>
            <wp:extent cx="1960880" cy="2807335"/>
            <wp:effectExtent l="0" t="0" r="0" b="0"/>
            <wp:wrapTight wrapText="bothSides">
              <wp:wrapPolygon edited="0">
                <wp:start x="420" y="0"/>
                <wp:lineTo x="420" y="21497"/>
                <wp:lineTo x="21404" y="21497"/>
                <wp:lineTo x="21404" y="0"/>
                <wp:lineTo x="420" y="0"/>
              </wp:wrapPolygon>
            </wp:wrapTight>
            <wp:docPr id="121784530" name="Picture 2" descr="A person and person holding wine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4530" name="Picture 2" descr="A person and person holding wine glasses&#10;&#10;AI-generated content may be incorrect."/>
                    <pic:cNvPicPr/>
                  </pic:nvPicPr>
                  <pic:blipFill rotWithShape="1">
                    <a:blip r:embed="rId10" cstate="print">
                      <a:extLst>
                        <a:ext uri="{28A0092B-C50C-407E-A947-70E740481C1C}">
                          <a14:useLocalDpi xmlns:a14="http://schemas.microsoft.com/office/drawing/2010/main" val="0"/>
                        </a:ext>
                      </a:extLst>
                    </a:blip>
                    <a:srcRect l="-1837" t="20975" r="45144" b="-6"/>
                    <a:stretch>
                      <a:fillRect/>
                    </a:stretch>
                  </pic:blipFill>
                  <pic:spPr bwMode="auto">
                    <a:xfrm>
                      <a:off x="0" y="0"/>
                      <a:ext cx="1960880" cy="2807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4CF1AD" w14:textId="0C92A2CC" w:rsidR="000076B8" w:rsidRDefault="00A440D8" w:rsidP="00222365">
      <w:pPr>
        <w:tabs>
          <w:tab w:val="left" w:pos="5851"/>
        </w:tabs>
        <w:rPr>
          <w:rFonts w:cstheme="minorHAnsi"/>
        </w:rPr>
      </w:pPr>
      <w:r>
        <w:rPr>
          <w:rFonts w:cstheme="minorHAnsi"/>
          <w:noProof/>
        </w:rPr>
        <w:drawing>
          <wp:anchor distT="0" distB="0" distL="114300" distR="114300" simplePos="0" relativeHeight="251670528" behindDoc="0" locked="0" layoutInCell="1" allowOverlap="1" wp14:anchorId="0E8BB031" wp14:editId="78D157AD">
            <wp:simplePos x="0" y="0"/>
            <wp:positionH relativeFrom="margin">
              <wp:posOffset>2531110</wp:posOffset>
            </wp:positionH>
            <wp:positionV relativeFrom="margin">
              <wp:posOffset>8050530</wp:posOffset>
            </wp:positionV>
            <wp:extent cx="1414145" cy="727710"/>
            <wp:effectExtent l="0" t="0" r="0" b="0"/>
            <wp:wrapSquare wrapText="bothSides"/>
            <wp:docPr id="514748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48306" name="Picture 5147483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4145" cy="727710"/>
                    </a:xfrm>
                    <a:prstGeom prst="rect">
                      <a:avLst/>
                    </a:prstGeom>
                  </pic:spPr>
                </pic:pic>
              </a:graphicData>
            </a:graphic>
            <wp14:sizeRelH relativeFrom="margin">
              <wp14:pctWidth>0</wp14:pctWidth>
            </wp14:sizeRelH>
            <wp14:sizeRelV relativeFrom="margin">
              <wp14:pctHeight>0</wp14:pctHeight>
            </wp14:sizeRelV>
          </wp:anchor>
        </w:drawing>
      </w:r>
      <w:r w:rsidR="00222365">
        <w:rPr>
          <w:rFonts w:cstheme="minorHAnsi"/>
          <w:noProof/>
        </w:rPr>
        <w:drawing>
          <wp:anchor distT="0" distB="0" distL="114300" distR="114300" simplePos="0" relativeHeight="251668480" behindDoc="1" locked="0" layoutInCell="1" allowOverlap="1" wp14:anchorId="48E95A14" wp14:editId="1F33DEFE">
            <wp:simplePos x="0" y="0"/>
            <wp:positionH relativeFrom="column">
              <wp:posOffset>1555115</wp:posOffset>
            </wp:positionH>
            <wp:positionV relativeFrom="paragraph">
              <wp:posOffset>27305</wp:posOffset>
            </wp:positionV>
            <wp:extent cx="2351405" cy="2778760"/>
            <wp:effectExtent l="0" t="0" r="0" b="2540"/>
            <wp:wrapTight wrapText="bothSides">
              <wp:wrapPolygon edited="0">
                <wp:start x="0" y="0"/>
                <wp:lineTo x="0" y="21521"/>
                <wp:lineTo x="21466" y="21521"/>
                <wp:lineTo x="21466" y="0"/>
                <wp:lineTo x="0" y="0"/>
              </wp:wrapPolygon>
            </wp:wrapTight>
            <wp:docPr id="1945168493" name="Picture 3" descr="A person hold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68493" name="Picture 3" descr="A person holding a dog&#10;&#10;AI-generated content may be incorrect."/>
                    <pic:cNvPicPr/>
                  </pic:nvPicPr>
                  <pic:blipFill rotWithShape="1">
                    <a:blip r:embed="rId12" cstate="print">
                      <a:extLst>
                        <a:ext uri="{28A0092B-C50C-407E-A947-70E740481C1C}">
                          <a14:useLocalDpi xmlns:a14="http://schemas.microsoft.com/office/drawing/2010/main" val="0"/>
                        </a:ext>
                      </a:extLst>
                    </a:blip>
                    <a:srcRect t="9198" b="25646"/>
                    <a:stretch>
                      <a:fillRect/>
                    </a:stretch>
                  </pic:blipFill>
                  <pic:spPr bwMode="auto">
                    <a:xfrm>
                      <a:off x="0" y="0"/>
                      <a:ext cx="2351405" cy="2778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2365">
        <w:rPr>
          <w:rFonts w:cstheme="minorHAnsi"/>
        </w:rPr>
        <w:tab/>
        <w:t xml:space="preserve">Joan Farrell &amp; Ida Shaw are Honorary members of </w:t>
      </w:r>
      <w:r w:rsidR="008B60E1">
        <w:rPr>
          <w:rFonts w:cstheme="minorHAnsi"/>
        </w:rPr>
        <w:t>the International Society of Schema Therapy</w:t>
      </w:r>
      <w:r w:rsidR="00A43EA2">
        <w:rPr>
          <w:rFonts w:cstheme="minorHAnsi"/>
        </w:rPr>
        <w:t xml:space="preserve"> and advanced certified trainer-supervisors in Group </w:t>
      </w:r>
      <w:r w:rsidR="008B60E1">
        <w:rPr>
          <w:rFonts w:cstheme="minorHAnsi"/>
        </w:rPr>
        <w:t xml:space="preserve">and Individual </w:t>
      </w:r>
      <w:r w:rsidR="00A43EA2">
        <w:rPr>
          <w:rFonts w:cstheme="minorHAnsi"/>
        </w:rPr>
        <w:t xml:space="preserve">Schema Therapy. </w:t>
      </w:r>
      <w:r w:rsidR="00E432C1">
        <w:rPr>
          <w:rFonts w:cstheme="minorHAnsi"/>
        </w:rPr>
        <w:t xml:space="preserve">Joan is President Elect of the Jeffrey Young Schema Therapy Association (JYSTA) and Ida is a Founding Member. </w:t>
      </w:r>
      <w:r w:rsidR="00A43EA2">
        <w:rPr>
          <w:rFonts w:cstheme="minorHAnsi"/>
        </w:rPr>
        <w:t>They developed the first group model they used in the 1980s at Indiana University School of Medicine. After reading the 1990 and 2003 books of Jeffrey Young and having the opportunity to present their model to him they all agreed that it was consistent with his ST model and it was labelled Group Schema Therapy. Joan &amp; Ida are enthusiastic and highly rated trainers who have given live training in 2</w:t>
      </w:r>
      <w:r w:rsidR="00E432C1">
        <w:rPr>
          <w:rFonts w:cstheme="minorHAnsi"/>
        </w:rPr>
        <w:t>9</w:t>
      </w:r>
      <w:r w:rsidR="00A43EA2">
        <w:rPr>
          <w:rFonts w:cstheme="minorHAnsi"/>
        </w:rPr>
        <w:t xml:space="preserve"> countries. They are seen as excellent examples of therapist limited reparenting.</w:t>
      </w:r>
      <w:r w:rsidR="008B60E1">
        <w:rPr>
          <w:rFonts w:cstheme="minorHAnsi"/>
        </w:rPr>
        <w:t xml:space="preserve"> Their training provides the same kind of warm, supportive and safe environment for learning that they use in therapy groups.</w:t>
      </w:r>
    </w:p>
    <w:sectPr w:rsidR="000076B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2A56DF" w14:textId="77777777" w:rsidR="0093074B" w:rsidRDefault="0093074B" w:rsidP="00222365">
      <w:r>
        <w:separator/>
      </w:r>
    </w:p>
  </w:endnote>
  <w:endnote w:type="continuationSeparator" w:id="0">
    <w:p w14:paraId="375B0CBE" w14:textId="77777777" w:rsidR="0093074B" w:rsidRDefault="0093074B" w:rsidP="0022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B325D" w14:textId="77777777" w:rsidR="00222365" w:rsidRDefault="002223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11C5F3" w14:textId="77777777" w:rsidR="00222365" w:rsidRDefault="002223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AAD63" w14:textId="77777777" w:rsidR="00222365" w:rsidRDefault="00222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B547F" w14:textId="77777777" w:rsidR="0093074B" w:rsidRDefault="0093074B" w:rsidP="00222365">
      <w:r>
        <w:separator/>
      </w:r>
    </w:p>
  </w:footnote>
  <w:footnote w:type="continuationSeparator" w:id="0">
    <w:p w14:paraId="60B94970" w14:textId="77777777" w:rsidR="0093074B" w:rsidRDefault="0093074B" w:rsidP="00222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065E9" w14:textId="77777777" w:rsidR="00222365" w:rsidRDefault="00222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FCAB1" w14:textId="77777777" w:rsidR="00222365" w:rsidRDefault="002223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F6B4A" w14:textId="77777777" w:rsidR="00222365" w:rsidRDefault="002223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21013C"/>
    <w:multiLevelType w:val="hybridMultilevel"/>
    <w:tmpl w:val="F35A7602"/>
    <w:lvl w:ilvl="0" w:tplc="97ECD40A">
      <w:start w:val="1"/>
      <w:numFmt w:val="decimal"/>
      <w:lvlText w:val="%1."/>
      <w:lvlJc w:val="left"/>
      <w:pPr>
        <w:ind w:left="469" w:hanging="360"/>
        <w:jc w:val="left"/>
      </w:pPr>
      <w:rPr>
        <w:rFonts w:hint="default"/>
        <w:spacing w:val="-1"/>
        <w:w w:val="100"/>
      </w:rPr>
    </w:lvl>
    <w:lvl w:ilvl="1" w:tplc="229E90BE">
      <w:numFmt w:val="bullet"/>
      <w:lvlText w:val="•"/>
      <w:lvlJc w:val="left"/>
      <w:pPr>
        <w:ind w:left="1508" w:hanging="360"/>
      </w:pPr>
      <w:rPr>
        <w:rFonts w:hint="default"/>
      </w:rPr>
    </w:lvl>
    <w:lvl w:ilvl="2" w:tplc="38E64F28">
      <w:numFmt w:val="bullet"/>
      <w:lvlText w:val="•"/>
      <w:lvlJc w:val="left"/>
      <w:pPr>
        <w:ind w:left="2556" w:hanging="360"/>
      </w:pPr>
      <w:rPr>
        <w:rFonts w:hint="default"/>
      </w:rPr>
    </w:lvl>
    <w:lvl w:ilvl="3" w:tplc="0C00B8E6">
      <w:numFmt w:val="bullet"/>
      <w:lvlText w:val="•"/>
      <w:lvlJc w:val="left"/>
      <w:pPr>
        <w:ind w:left="3604" w:hanging="360"/>
      </w:pPr>
      <w:rPr>
        <w:rFonts w:hint="default"/>
      </w:rPr>
    </w:lvl>
    <w:lvl w:ilvl="4" w:tplc="E426477C">
      <w:numFmt w:val="bullet"/>
      <w:lvlText w:val="•"/>
      <w:lvlJc w:val="left"/>
      <w:pPr>
        <w:ind w:left="4652" w:hanging="360"/>
      </w:pPr>
      <w:rPr>
        <w:rFonts w:hint="default"/>
      </w:rPr>
    </w:lvl>
    <w:lvl w:ilvl="5" w:tplc="ADE6C5A6">
      <w:numFmt w:val="bullet"/>
      <w:lvlText w:val="•"/>
      <w:lvlJc w:val="left"/>
      <w:pPr>
        <w:ind w:left="5700" w:hanging="360"/>
      </w:pPr>
      <w:rPr>
        <w:rFonts w:hint="default"/>
      </w:rPr>
    </w:lvl>
    <w:lvl w:ilvl="6" w:tplc="278681B6">
      <w:numFmt w:val="bullet"/>
      <w:lvlText w:val="•"/>
      <w:lvlJc w:val="left"/>
      <w:pPr>
        <w:ind w:left="6748" w:hanging="360"/>
      </w:pPr>
      <w:rPr>
        <w:rFonts w:hint="default"/>
      </w:rPr>
    </w:lvl>
    <w:lvl w:ilvl="7" w:tplc="A5B813DC">
      <w:numFmt w:val="bullet"/>
      <w:lvlText w:val="•"/>
      <w:lvlJc w:val="left"/>
      <w:pPr>
        <w:ind w:left="7796" w:hanging="360"/>
      </w:pPr>
      <w:rPr>
        <w:rFonts w:hint="default"/>
      </w:rPr>
    </w:lvl>
    <w:lvl w:ilvl="8" w:tplc="466E51A4">
      <w:numFmt w:val="bullet"/>
      <w:lvlText w:val="•"/>
      <w:lvlJc w:val="left"/>
      <w:pPr>
        <w:ind w:left="8844" w:hanging="360"/>
      </w:pPr>
      <w:rPr>
        <w:rFonts w:hint="default"/>
      </w:rPr>
    </w:lvl>
  </w:abstractNum>
  <w:num w:numId="1" w16cid:durableId="15406261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12"/>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4A"/>
    <w:rsid w:val="000076B8"/>
    <w:rsid w:val="000317F2"/>
    <w:rsid w:val="000714A3"/>
    <w:rsid w:val="00072601"/>
    <w:rsid w:val="0008383C"/>
    <w:rsid w:val="0008637C"/>
    <w:rsid w:val="000944E6"/>
    <w:rsid w:val="0010467A"/>
    <w:rsid w:val="00134FC7"/>
    <w:rsid w:val="00222365"/>
    <w:rsid w:val="00290B9B"/>
    <w:rsid w:val="002B602E"/>
    <w:rsid w:val="00381478"/>
    <w:rsid w:val="003A4D61"/>
    <w:rsid w:val="003C25CE"/>
    <w:rsid w:val="00505BF8"/>
    <w:rsid w:val="005A5F74"/>
    <w:rsid w:val="005D6B4A"/>
    <w:rsid w:val="005E6193"/>
    <w:rsid w:val="005F3F8E"/>
    <w:rsid w:val="0065073B"/>
    <w:rsid w:val="006949EE"/>
    <w:rsid w:val="006C0C93"/>
    <w:rsid w:val="006C2F5E"/>
    <w:rsid w:val="00711F7D"/>
    <w:rsid w:val="008B60E1"/>
    <w:rsid w:val="008D0E18"/>
    <w:rsid w:val="0093074B"/>
    <w:rsid w:val="00937056"/>
    <w:rsid w:val="0099489C"/>
    <w:rsid w:val="009E7AE7"/>
    <w:rsid w:val="00A43EA2"/>
    <w:rsid w:val="00A440D8"/>
    <w:rsid w:val="00AE62DF"/>
    <w:rsid w:val="00B24C8B"/>
    <w:rsid w:val="00B70E2A"/>
    <w:rsid w:val="00BD7EC6"/>
    <w:rsid w:val="00C928E2"/>
    <w:rsid w:val="00D817D8"/>
    <w:rsid w:val="00E432C1"/>
    <w:rsid w:val="00F03516"/>
    <w:rsid w:val="00F77881"/>
    <w:rsid w:val="00F9283B"/>
    <w:rsid w:val="00FC6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534A9"/>
  <w15:chartTrackingRefBased/>
  <w15:docId w15:val="{68D8C190-5946-224B-BA55-A775B8AE1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E2A"/>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3">
    <w:name w:val="heading 3"/>
    <w:basedOn w:val="Normal"/>
    <w:link w:val="Heading3Char"/>
    <w:uiPriority w:val="9"/>
    <w:unhideWhenUsed/>
    <w:qFormat/>
    <w:rsid w:val="002B602E"/>
    <w:pPr>
      <w:widowControl w:val="0"/>
      <w:autoSpaceDE w:val="0"/>
      <w:autoSpaceDN w:val="0"/>
      <w:ind w:left="469"/>
      <w:outlineLvl w:val="2"/>
    </w:pPr>
    <w:rPr>
      <w:rFonts w:ascii="Arial" w:eastAsia="Arial" w:hAnsi="Arial" w:cs="Arial"/>
      <w:b/>
      <w:bCs/>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83C"/>
    <w:rPr>
      <w:color w:val="467886" w:themeColor="hyperlink"/>
      <w:u w:val="single"/>
    </w:rPr>
  </w:style>
  <w:style w:type="character" w:styleId="UnresolvedMention">
    <w:name w:val="Unresolved Mention"/>
    <w:basedOn w:val="DefaultParagraphFont"/>
    <w:uiPriority w:val="99"/>
    <w:semiHidden/>
    <w:unhideWhenUsed/>
    <w:rsid w:val="0008383C"/>
    <w:rPr>
      <w:color w:val="605E5C"/>
      <w:shd w:val="clear" w:color="auto" w:fill="E1DFDD"/>
    </w:rPr>
  </w:style>
  <w:style w:type="character" w:customStyle="1" w:styleId="Heading3Char">
    <w:name w:val="Heading 3 Char"/>
    <w:basedOn w:val="DefaultParagraphFont"/>
    <w:link w:val="Heading3"/>
    <w:uiPriority w:val="9"/>
    <w:rsid w:val="002B602E"/>
    <w:rPr>
      <w:rFonts w:ascii="Arial" w:eastAsia="Arial" w:hAnsi="Arial" w:cs="Arial"/>
      <w:b/>
      <w:bCs/>
      <w:kern w:val="0"/>
      <w:sz w:val="22"/>
      <w:szCs w:val="22"/>
      <w14:ligatures w14:val="none"/>
    </w:rPr>
  </w:style>
  <w:style w:type="character" w:customStyle="1" w:styleId="Heading1Char">
    <w:name w:val="Heading 1 Char"/>
    <w:basedOn w:val="DefaultParagraphFont"/>
    <w:link w:val="Heading1"/>
    <w:uiPriority w:val="9"/>
    <w:rsid w:val="00B70E2A"/>
    <w:rPr>
      <w:rFonts w:asciiTheme="majorHAnsi" w:eastAsiaTheme="majorEastAsia" w:hAnsiTheme="majorHAnsi" w:cstheme="majorBidi"/>
      <w:color w:val="0F4761" w:themeColor="accent1" w:themeShade="BF"/>
      <w:sz w:val="32"/>
      <w:szCs w:val="32"/>
    </w:rPr>
  </w:style>
  <w:style w:type="paragraph" w:styleId="BodyText">
    <w:name w:val="Body Text"/>
    <w:basedOn w:val="Normal"/>
    <w:link w:val="BodyTextChar"/>
    <w:uiPriority w:val="1"/>
    <w:qFormat/>
    <w:rsid w:val="00B70E2A"/>
    <w:pPr>
      <w:widowControl w:val="0"/>
      <w:autoSpaceDE w:val="0"/>
      <w:autoSpaceDN w:val="0"/>
      <w:spacing w:before="35"/>
      <w:ind w:left="829" w:hanging="361"/>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B70E2A"/>
    <w:rPr>
      <w:rFonts w:ascii="Arial" w:eastAsia="Arial" w:hAnsi="Arial" w:cs="Arial"/>
      <w:kern w:val="0"/>
      <w:sz w:val="22"/>
      <w:szCs w:val="22"/>
      <w14:ligatures w14:val="none"/>
    </w:rPr>
  </w:style>
  <w:style w:type="paragraph" w:styleId="ListParagraph">
    <w:name w:val="List Paragraph"/>
    <w:basedOn w:val="Normal"/>
    <w:uiPriority w:val="1"/>
    <w:qFormat/>
    <w:rsid w:val="00B70E2A"/>
    <w:pPr>
      <w:widowControl w:val="0"/>
      <w:autoSpaceDE w:val="0"/>
      <w:autoSpaceDN w:val="0"/>
      <w:spacing w:before="35"/>
      <w:ind w:left="829" w:hanging="361"/>
    </w:pPr>
    <w:rPr>
      <w:rFonts w:ascii="Arial" w:eastAsia="Arial" w:hAnsi="Arial" w:cs="Arial"/>
      <w:kern w:val="0"/>
      <w:sz w:val="22"/>
      <w:szCs w:val="22"/>
      <w14:ligatures w14:val="none"/>
    </w:rPr>
  </w:style>
  <w:style w:type="character" w:styleId="FollowedHyperlink">
    <w:name w:val="FollowedHyperlink"/>
    <w:basedOn w:val="DefaultParagraphFont"/>
    <w:uiPriority w:val="99"/>
    <w:semiHidden/>
    <w:unhideWhenUsed/>
    <w:rsid w:val="0065073B"/>
    <w:rPr>
      <w:color w:val="96607D" w:themeColor="followedHyperlink"/>
      <w:u w:val="single"/>
    </w:rPr>
  </w:style>
  <w:style w:type="paragraph" w:styleId="Header">
    <w:name w:val="header"/>
    <w:basedOn w:val="Normal"/>
    <w:link w:val="HeaderChar"/>
    <w:uiPriority w:val="99"/>
    <w:unhideWhenUsed/>
    <w:rsid w:val="00222365"/>
    <w:pPr>
      <w:tabs>
        <w:tab w:val="center" w:pos="4680"/>
        <w:tab w:val="right" w:pos="9360"/>
      </w:tabs>
    </w:pPr>
  </w:style>
  <w:style w:type="character" w:customStyle="1" w:styleId="HeaderChar">
    <w:name w:val="Header Char"/>
    <w:basedOn w:val="DefaultParagraphFont"/>
    <w:link w:val="Header"/>
    <w:uiPriority w:val="99"/>
    <w:rsid w:val="00222365"/>
  </w:style>
  <w:style w:type="paragraph" w:styleId="Footer">
    <w:name w:val="footer"/>
    <w:basedOn w:val="Normal"/>
    <w:link w:val="FooterChar"/>
    <w:uiPriority w:val="99"/>
    <w:unhideWhenUsed/>
    <w:rsid w:val="00222365"/>
    <w:pPr>
      <w:tabs>
        <w:tab w:val="center" w:pos="4680"/>
        <w:tab w:val="right" w:pos="9360"/>
      </w:tabs>
    </w:pPr>
  </w:style>
  <w:style w:type="character" w:customStyle="1" w:styleId="FooterChar">
    <w:name w:val="Footer Char"/>
    <w:basedOn w:val="DefaultParagraphFont"/>
    <w:link w:val="Footer"/>
    <w:uiPriority w:val="99"/>
    <w:rsid w:val="00222365"/>
  </w:style>
  <w:style w:type="paragraph" w:styleId="Title">
    <w:name w:val="Title"/>
    <w:basedOn w:val="Normal"/>
    <w:next w:val="Normal"/>
    <w:link w:val="TitleChar"/>
    <w:uiPriority w:val="10"/>
    <w:qFormat/>
    <w:rsid w:val="000076B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6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6B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076B8"/>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chematherapy-training.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918</Words>
  <Characters>4951</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Farrell</dc:creator>
  <cp:keywords/>
  <dc:description/>
  <cp:lastModifiedBy>Joan Farrell</cp:lastModifiedBy>
  <cp:revision>2</cp:revision>
  <cp:lastPrinted>2023-07-06T21:09:00Z</cp:lastPrinted>
  <dcterms:created xsi:type="dcterms:W3CDTF">2026-07-15T16:42:00Z</dcterms:created>
  <dcterms:modified xsi:type="dcterms:W3CDTF">2026-07-15T16:42:00Z</dcterms:modified>
</cp:coreProperties>
</file>